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Pr="00E20580" w:rsidRDefault="00E20580" w:rsidP="00E20580">
      <w:pPr>
        <w:pStyle w:val="a4"/>
        <w:jc w:val="center"/>
        <w:rPr>
          <w:rFonts w:ascii="Times New Roman" w:hAnsi="Times New Roman"/>
          <w:b/>
          <w:caps/>
          <w:color w:val="FF0000"/>
          <w:sz w:val="28"/>
        </w:rPr>
      </w:pPr>
      <w:r w:rsidRPr="00E20580">
        <w:rPr>
          <w:rFonts w:ascii="Times New Roman" w:hAnsi="Times New Roman"/>
          <w:b/>
          <w:caps/>
          <w:color w:val="FF0000"/>
          <w:sz w:val="28"/>
        </w:rPr>
        <w:t>Памятка</w:t>
      </w:r>
    </w:p>
    <w:p w:rsidR="005752F7" w:rsidRDefault="00E20580" w:rsidP="00E20580">
      <w:pPr>
        <w:tabs>
          <w:tab w:val="left" w:pos="7095"/>
        </w:tabs>
        <w:jc w:val="center"/>
      </w:pPr>
      <w:r w:rsidRPr="00E20580">
        <w:rPr>
          <w:rFonts w:ascii="Times New Roman" w:hAnsi="Times New Roman"/>
          <w:b/>
          <w:color w:val="FF0000"/>
          <w:sz w:val="28"/>
        </w:rPr>
        <w:t>для оказания содействия родителю</w:t>
      </w:r>
      <w:r w:rsidRPr="00E20580">
        <w:rPr>
          <w:rFonts w:ascii="Times New Roman" w:hAnsi="Times New Roman"/>
          <w:b/>
          <w:bCs/>
          <w:color w:val="FF0000"/>
          <w:sz w:val="28"/>
          <w:szCs w:val="28"/>
        </w:rPr>
        <w:t>, ребенок которого был перемещен или удерживается на территории иностран</w:t>
      </w:r>
      <w:bookmarkStart w:id="0" w:name="_GoBack"/>
      <w:bookmarkEnd w:id="0"/>
      <w:r w:rsidRPr="00E20580">
        <w:rPr>
          <w:rFonts w:ascii="Times New Roman" w:hAnsi="Times New Roman"/>
          <w:b/>
          <w:bCs/>
          <w:color w:val="FF0000"/>
          <w:sz w:val="28"/>
          <w:szCs w:val="28"/>
        </w:rPr>
        <w:t xml:space="preserve">ного государства </w:t>
      </w:r>
      <w:r w:rsidRPr="00E20580">
        <w:rPr>
          <w:rFonts w:ascii="Times New Roman" w:hAnsi="Times New Roman"/>
          <w:b/>
          <w:bCs/>
          <w:color w:val="FF0000"/>
          <w:sz w:val="28"/>
          <w:szCs w:val="28"/>
        </w:rPr>
        <w:br/>
        <w:t>(Конвенция 1980 года)</w:t>
      </w:r>
    </w:p>
    <w:p w:rsidR="005752F7" w:rsidRPr="005752F7" w:rsidRDefault="00E20580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8890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    <v:path arrowok="t"/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/>
                        </w:rPr>
                        <w:t>, указанного в списке (см. приложение)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E20580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E20580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    <v:path arrowok="t"/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E20580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E20580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3468370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hAnsi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hAnsi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E20580">
      <w:headerReference w:type="default" r:id="rId9"/>
      <w:pgSz w:w="11906" w:h="16838"/>
      <w:pgMar w:top="709" w:right="566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5" w:rsidRDefault="00F04305" w:rsidP="00C74C1A">
      <w:pPr>
        <w:spacing w:after="0" w:line="240" w:lineRule="auto"/>
      </w:pPr>
      <w:r>
        <w:separator/>
      </w:r>
    </w:p>
  </w:endnote>
  <w:endnote w:type="continuationSeparator" w:id="0">
    <w:p w:rsidR="00F04305" w:rsidRDefault="00F04305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5" w:rsidRDefault="00F04305" w:rsidP="00C74C1A">
      <w:pPr>
        <w:spacing w:after="0" w:line="240" w:lineRule="auto"/>
      </w:pPr>
      <w:r>
        <w:separator/>
      </w:r>
    </w:p>
  </w:footnote>
  <w:footnote w:type="continuationSeparator" w:id="0">
    <w:p w:rsidR="00F04305" w:rsidRDefault="00F04305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A" w:rsidRPr="00E20580" w:rsidRDefault="00C74C1A" w:rsidP="000A7FBF">
    <w:pPr>
      <w:pStyle w:val="a4"/>
      <w:jc w:val="center"/>
      <w:rPr>
        <w:rFonts w:ascii="Times New Roman" w:hAnsi="Times New Roman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564B2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955F8"/>
    <w:rsid w:val="00E20580"/>
    <w:rsid w:val="00E35AA5"/>
    <w:rsid w:val="00E91898"/>
    <w:rsid w:val="00E93841"/>
    <w:rsid w:val="00EC3F2A"/>
    <w:rsid w:val="00EC4AE9"/>
    <w:rsid w:val="00EE7484"/>
    <w:rsid w:val="00F04305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783C-90C0-4BD2-AB25-A839F54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2019-11-27T13:49:00Z</cp:lastPrinted>
  <dcterms:created xsi:type="dcterms:W3CDTF">2019-12-13T05:46:00Z</dcterms:created>
  <dcterms:modified xsi:type="dcterms:W3CDTF">2019-12-13T05:46:00Z</dcterms:modified>
</cp:coreProperties>
</file>